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17" w:rsidRPr="00E96D17" w:rsidRDefault="00E96D17" w:rsidP="00E96D17">
      <w:pPr>
        <w:pStyle w:val="style1"/>
        <w:spacing w:after="0"/>
        <w:jc w:val="both"/>
        <w:rPr>
          <w:sz w:val="22"/>
          <w:szCs w:val="22"/>
        </w:rPr>
      </w:pPr>
    </w:p>
    <w:p w:rsidR="00E96D17" w:rsidRPr="00E96D17" w:rsidRDefault="00E96D17" w:rsidP="00E96D17">
      <w:pPr>
        <w:pStyle w:val="style4"/>
        <w:spacing w:after="0"/>
        <w:jc w:val="center"/>
        <w:rPr>
          <w:sz w:val="18"/>
          <w:szCs w:val="18"/>
        </w:rPr>
      </w:pPr>
      <w:r w:rsidRPr="00E96D17">
        <w:rPr>
          <w:rStyle w:val="characterstyle1"/>
          <w:b/>
          <w:sz w:val="28"/>
          <w:szCs w:val="22"/>
        </w:rPr>
        <w:t>OFICIO N° 050180</w:t>
      </w:r>
    </w:p>
    <w:p w:rsidR="00E96D17" w:rsidRPr="00E96D17" w:rsidRDefault="00E96D17" w:rsidP="00E96D17">
      <w:pPr>
        <w:pStyle w:val="style4"/>
        <w:spacing w:after="0"/>
        <w:jc w:val="center"/>
        <w:rPr>
          <w:sz w:val="18"/>
          <w:szCs w:val="18"/>
        </w:rPr>
      </w:pPr>
      <w:r w:rsidRPr="00E96D17">
        <w:rPr>
          <w:rStyle w:val="characterstyle1"/>
          <w:b/>
          <w:sz w:val="28"/>
          <w:szCs w:val="22"/>
        </w:rPr>
        <w:t>10-08-2013</w:t>
      </w:r>
    </w:p>
    <w:p w:rsidR="00E96D17" w:rsidRPr="00E96D17" w:rsidRDefault="00E96D17" w:rsidP="00E96D17">
      <w:pPr>
        <w:pStyle w:val="style4"/>
        <w:spacing w:after="0"/>
        <w:jc w:val="center"/>
        <w:rPr>
          <w:sz w:val="18"/>
          <w:szCs w:val="18"/>
        </w:rPr>
      </w:pPr>
      <w:r w:rsidRPr="00E96D17">
        <w:rPr>
          <w:rStyle w:val="characterstyle1"/>
          <w:b/>
          <w:sz w:val="28"/>
          <w:szCs w:val="22"/>
        </w:rPr>
        <w:t>DIAN</w:t>
      </w:r>
    </w:p>
    <w:p w:rsidR="00E96D17" w:rsidRPr="00E96D17" w:rsidRDefault="00E96D17" w:rsidP="00E96D17">
      <w:pPr>
        <w:pStyle w:val="style4"/>
        <w:spacing w:after="0"/>
        <w:jc w:val="both"/>
        <w:rPr>
          <w:sz w:val="18"/>
          <w:szCs w:val="18"/>
        </w:rPr>
      </w:pPr>
      <w:r w:rsidRPr="00E96D17">
        <w:rPr>
          <w:rStyle w:val="characterstyle1"/>
          <w:b/>
          <w:sz w:val="22"/>
          <w:szCs w:val="22"/>
        </w:rPr>
        <w:t> </w:t>
      </w:r>
    </w:p>
    <w:p w:rsidR="00E96D17" w:rsidRPr="00E96D17" w:rsidRDefault="00E96D17" w:rsidP="00E96D17">
      <w:pPr>
        <w:pStyle w:val="style4"/>
        <w:spacing w:after="0"/>
        <w:jc w:val="both"/>
        <w:rPr>
          <w:sz w:val="18"/>
          <w:szCs w:val="18"/>
        </w:rPr>
      </w:pPr>
      <w:r w:rsidRPr="00E96D17">
        <w:rPr>
          <w:rStyle w:val="characterstyle1"/>
          <w:b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Señora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b/>
          <w:bCs/>
          <w:sz w:val="22"/>
          <w:szCs w:val="22"/>
        </w:rPr>
        <w:t>GLADYS BASANTE BASTIDAS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Gerente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Centro de Salud El Rosario E.S.E.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Pasto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Nariño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En cumplimiento de la acción de tutela, a continuación nos permitimos resolver las inquietudes planteadas y que a</w:t>
      </w:r>
      <w:r w:rsidRPr="00E96D17">
        <w:rPr>
          <w:sz w:val="22"/>
          <w:szCs w:val="22"/>
          <w:vertAlign w:val="superscript"/>
        </w:rPr>
        <w:t xml:space="preserve"> </w:t>
      </w:r>
      <w:r w:rsidRPr="00E96D17">
        <w:rPr>
          <w:sz w:val="22"/>
          <w:szCs w:val="22"/>
        </w:rPr>
        <w:t>continuación se exponen: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rFonts w:eastAsia="Arial"/>
          <w:iCs/>
          <w:sz w:val="22"/>
          <w:szCs w:val="22"/>
        </w:rPr>
        <w:t xml:space="preserve">1. </w:t>
      </w:r>
      <w:r w:rsidRPr="00E96D17">
        <w:rPr>
          <w:iCs/>
          <w:sz w:val="22"/>
          <w:szCs w:val="22"/>
        </w:rPr>
        <w:t>El Centro de Salud El Rosario ESE tiene contratado los servicios profesionales de una odontóloga, quien para el desempeño de sus labores debe hacer uso de equipos y materiales, los cuales son de propiedad de la E.S.E.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rFonts w:eastAsia="Arial"/>
          <w:iCs/>
          <w:sz w:val="22"/>
          <w:szCs w:val="22"/>
        </w:rPr>
        <w:t xml:space="preserve">2. </w:t>
      </w:r>
      <w:r w:rsidRPr="00E96D17">
        <w:rPr>
          <w:iCs/>
          <w:sz w:val="22"/>
          <w:szCs w:val="22"/>
        </w:rPr>
        <w:t xml:space="preserve">No obstante, en el momento existen dudas de la aplicación del Decreto 0099 del 25 de enero de 2013, puesto que tal como se estipula la misma en su artículo 3 a partir del </w:t>
      </w:r>
      <w:r w:rsidRPr="00E96D17">
        <w:rPr>
          <w:sz w:val="22"/>
          <w:szCs w:val="22"/>
        </w:rPr>
        <w:t xml:space="preserve">1° </w:t>
      </w:r>
      <w:r w:rsidRPr="00E96D17">
        <w:rPr>
          <w:iCs/>
          <w:sz w:val="22"/>
          <w:szCs w:val="22"/>
        </w:rPr>
        <w:t xml:space="preserve">de abril de 2013 se debe aplicar la tabla de retención en la fuente mínima a la categoría de empleado a que se refiere el </w:t>
      </w:r>
      <w:hyperlink r:id="rId5" w:tooltip="Estatuto Tributario CETA" w:history="1">
        <w:r w:rsidRPr="00E96D17">
          <w:rPr>
            <w:rStyle w:val="Hipervnculo"/>
            <w:iCs/>
            <w:color w:val="auto"/>
            <w:sz w:val="22"/>
            <w:szCs w:val="22"/>
          </w:rPr>
          <w:t>artículo 329</w:t>
        </w:r>
      </w:hyperlink>
      <w:r w:rsidRPr="00E96D17">
        <w:rPr>
          <w:iCs/>
          <w:sz w:val="22"/>
          <w:szCs w:val="22"/>
        </w:rPr>
        <w:t xml:space="preserve"> del Estatuto Tributario, sin embargo, en el parágrafo 4° del mismo artículo hace alusión de que se podrá aplicar esta tabla a trabajadores que presten servicios personales mediante el ejercicio de profesiones liberales o que presten servicios técnicos </w:t>
      </w:r>
      <w:r w:rsidRPr="00E96D17">
        <w:rPr>
          <w:iCs/>
          <w:sz w:val="22"/>
          <w:szCs w:val="22"/>
          <w:u w:val="single"/>
        </w:rPr>
        <w:t>que no requieran la utilización de materiales o insumos especializados o de maquinaria o equipo especializado</w:t>
      </w:r>
      <w:r w:rsidRPr="00E96D17">
        <w:rPr>
          <w:iCs/>
          <w:sz w:val="22"/>
          <w:szCs w:val="22"/>
        </w:rPr>
        <w:t>. (</w:t>
      </w:r>
      <w:proofErr w:type="gramStart"/>
      <w:r w:rsidRPr="00E96D17">
        <w:rPr>
          <w:iCs/>
          <w:sz w:val="22"/>
          <w:szCs w:val="22"/>
        </w:rPr>
        <w:t>resaltado</w:t>
      </w:r>
      <w:proofErr w:type="gramEnd"/>
      <w:r w:rsidRPr="00E96D17">
        <w:rPr>
          <w:iCs/>
          <w:sz w:val="22"/>
          <w:szCs w:val="22"/>
        </w:rPr>
        <w:t xml:space="preserve"> fuera del texto)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rFonts w:eastAsia="Arial"/>
          <w:iCs/>
          <w:sz w:val="22"/>
          <w:szCs w:val="22"/>
        </w:rPr>
        <w:t xml:space="preserve">3. </w:t>
      </w:r>
      <w:r w:rsidRPr="00E96D17">
        <w:rPr>
          <w:iCs/>
          <w:sz w:val="22"/>
          <w:szCs w:val="22"/>
        </w:rPr>
        <w:t xml:space="preserve">Teniendo en cuenta lo anterior existen dudas de que si en el caso de </w:t>
      </w:r>
      <w:r w:rsidRPr="00E96D17">
        <w:rPr>
          <w:sz w:val="22"/>
          <w:szCs w:val="22"/>
        </w:rPr>
        <w:t xml:space="preserve">la </w:t>
      </w:r>
      <w:r w:rsidRPr="00E96D17">
        <w:rPr>
          <w:iCs/>
          <w:sz w:val="22"/>
          <w:szCs w:val="22"/>
        </w:rPr>
        <w:t>Odontóloga, quien debe utilizar equipos y materiales o insumos en sus labores, los cuales son de propiedad de la E.S.E. se le debe aplicar la tabla de retención establecida en el artículo 3° del Decreto 0099 de 2013, toda vez que la norma en sí no especifica respecto en quien debe recaer la propiedad de los materiales, insumos, maquinaria y equipo especializado, o en el contratista o en el contratante.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b/>
          <w:iCs/>
          <w:sz w:val="22"/>
          <w:szCs w:val="22"/>
        </w:rPr>
        <w:t>Petición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b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 xml:space="preserve">Por </w:t>
      </w:r>
      <w:r w:rsidRPr="00E96D17">
        <w:rPr>
          <w:iCs/>
          <w:sz w:val="22"/>
          <w:szCs w:val="22"/>
        </w:rPr>
        <w:t>lo anteriormente expuesto, con todo respeto elevo ante esta entidad el siguiente interrogante con el fin de buscar su respuesta: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¿El Centro de Salud El Rosario ESE Primer Nivel de Complejidad, puede aplicar el artículo 3° del Decreto 0099 de 2013, a la odontóloga quien tiene un contrato de prestación de servicios profesionales con la E.S.E., pero utiliza equipos, materiales e insumos de propiedad de la E.S.E.?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Sobre estas inquietudes hacemos las siguientes precisiones: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 xml:space="preserve">El </w:t>
      </w:r>
      <w:hyperlink r:id="rId6" w:tooltip="Estatuto Tributario CETA" w:history="1">
        <w:r w:rsidRPr="00E96D17">
          <w:rPr>
            <w:rStyle w:val="Hipervnculo"/>
            <w:color w:val="auto"/>
            <w:sz w:val="22"/>
            <w:szCs w:val="22"/>
          </w:rPr>
          <w:t>artículo 329</w:t>
        </w:r>
      </w:hyperlink>
      <w:r w:rsidRPr="00E96D17">
        <w:rPr>
          <w:sz w:val="22"/>
          <w:szCs w:val="22"/>
        </w:rPr>
        <w:t xml:space="preserve"> del Estatuto Tributario adicionado por el artículo 10 de la Ley 1607 de 2012 estableció una nueva clasificación, para efectos tributarios, de las personas naturales residentes en el país a saber: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6"/>
        <w:tabs>
          <w:tab w:val="left" w:pos="284"/>
        </w:tabs>
        <w:spacing w:after="0"/>
        <w:ind w:left="284" w:hanging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sz w:val="22"/>
          <w:szCs w:val="22"/>
        </w:rPr>
        <w:lastRenderedPageBreak/>
        <w:t>·</w:t>
      </w:r>
      <w:r w:rsidRPr="00E96D17">
        <w:rPr>
          <w:rStyle w:val="characterstyle6"/>
          <w:rFonts w:eastAsia="Symbol"/>
          <w:sz w:val="14"/>
          <w:szCs w:val="14"/>
        </w:rPr>
        <w:t xml:space="preserve">      </w:t>
      </w:r>
      <w:r w:rsidRPr="00E96D17">
        <w:rPr>
          <w:rStyle w:val="characterstyle6"/>
          <w:sz w:val="22"/>
          <w:szCs w:val="22"/>
        </w:rPr>
        <w:t>Empleados</w:t>
      </w:r>
    </w:p>
    <w:p w:rsidR="00E96D17" w:rsidRPr="00E96D17" w:rsidRDefault="00E96D17" w:rsidP="00E96D17">
      <w:pPr>
        <w:pStyle w:val="style6"/>
        <w:tabs>
          <w:tab w:val="left" w:pos="284"/>
        </w:tabs>
        <w:spacing w:after="0"/>
        <w:ind w:left="284" w:hanging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sz w:val="22"/>
          <w:szCs w:val="22"/>
        </w:rPr>
        <w:t>·</w:t>
      </w:r>
      <w:r w:rsidRPr="00E96D17">
        <w:rPr>
          <w:rStyle w:val="characterstyle6"/>
          <w:rFonts w:eastAsia="Symbol"/>
          <w:sz w:val="14"/>
          <w:szCs w:val="14"/>
        </w:rPr>
        <w:t xml:space="preserve">      </w:t>
      </w:r>
      <w:r w:rsidRPr="00E96D17">
        <w:rPr>
          <w:rStyle w:val="characterstyle6"/>
          <w:sz w:val="22"/>
          <w:szCs w:val="22"/>
        </w:rPr>
        <w:t>Trabajadores por cuenta propia</w:t>
      </w:r>
    </w:p>
    <w:p w:rsidR="00E96D17" w:rsidRPr="00E96D17" w:rsidRDefault="00E96D17" w:rsidP="00E96D17">
      <w:pPr>
        <w:pStyle w:val="style6"/>
        <w:tabs>
          <w:tab w:val="left" w:pos="284"/>
        </w:tabs>
        <w:spacing w:after="0"/>
        <w:ind w:left="284" w:hanging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sz w:val="22"/>
          <w:szCs w:val="22"/>
        </w:rPr>
        <w:t>·</w:t>
      </w:r>
      <w:r w:rsidRPr="00E96D17">
        <w:rPr>
          <w:rStyle w:val="characterstyle6"/>
          <w:rFonts w:eastAsia="Symbol"/>
          <w:sz w:val="14"/>
          <w:szCs w:val="14"/>
        </w:rPr>
        <w:t xml:space="preserve">      </w:t>
      </w:r>
      <w:r w:rsidRPr="00E96D17">
        <w:rPr>
          <w:rStyle w:val="characterstyle6"/>
          <w:sz w:val="22"/>
          <w:szCs w:val="22"/>
        </w:rPr>
        <w:t>Otros contribuyentes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 xml:space="preserve">En consonancia con lo anterior los artículos 13, 14 y 15 introdujeron modificaciones en materia de retención en la fuente para empleados a través de los artículos </w:t>
      </w:r>
      <w:hyperlink r:id="rId7" w:tooltip="Estatuto Tributario CETA" w:history="1">
        <w:r w:rsidRPr="00E96D17">
          <w:rPr>
            <w:rStyle w:val="Hipervnculo"/>
            <w:color w:val="auto"/>
            <w:sz w:val="22"/>
            <w:szCs w:val="22"/>
          </w:rPr>
          <w:t>383</w:t>
        </w:r>
      </w:hyperlink>
      <w:r w:rsidRPr="00E96D17">
        <w:rPr>
          <w:sz w:val="22"/>
          <w:szCs w:val="22"/>
        </w:rPr>
        <w:t xml:space="preserve">, </w:t>
      </w:r>
      <w:hyperlink r:id="rId8" w:tooltip="Estatuto Tributario CETA" w:history="1">
        <w:r w:rsidRPr="00E96D17">
          <w:rPr>
            <w:rStyle w:val="Hipervnculo"/>
            <w:color w:val="auto"/>
            <w:sz w:val="22"/>
            <w:szCs w:val="22"/>
          </w:rPr>
          <w:t>384</w:t>
        </w:r>
      </w:hyperlink>
      <w:r w:rsidRPr="00E96D17">
        <w:rPr>
          <w:sz w:val="22"/>
          <w:szCs w:val="22"/>
        </w:rPr>
        <w:t xml:space="preserve"> y </w:t>
      </w:r>
      <w:hyperlink r:id="rId9" w:tooltip="Estatuto Tributario CETA" w:history="1">
        <w:r w:rsidRPr="00E96D17">
          <w:rPr>
            <w:rStyle w:val="Hipervnculo"/>
            <w:color w:val="auto"/>
            <w:sz w:val="22"/>
            <w:szCs w:val="22"/>
          </w:rPr>
          <w:t>387</w:t>
        </w:r>
      </w:hyperlink>
      <w:r w:rsidRPr="00E96D17">
        <w:rPr>
          <w:sz w:val="22"/>
          <w:szCs w:val="22"/>
        </w:rPr>
        <w:t xml:space="preserve"> del Estatuto Tributario, los cuales fueron reglamentados mediante los Decretos 0099 y 1070 de 2013.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b/>
          <w:sz w:val="18"/>
          <w:szCs w:val="18"/>
        </w:rPr>
      </w:pPr>
      <w:r w:rsidRPr="00E96D17">
        <w:rPr>
          <w:b/>
          <w:sz w:val="22"/>
          <w:szCs w:val="22"/>
        </w:rPr>
        <w:t>De manera particular y respecto a la clasificación, para efectos tributarios de las personas naturales residentes en el país, en el Oficio No. 017857 del 26 de marzo de 2013, se señala: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sz w:val="22"/>
          <w:szCs w:val="22"/>
        </w:rPr>
        <w:t xml:space="preserve">"De </w:t>
      </w:r>
      <w:r w:rsidRPr="00E96D17">
        <w:rPr>
          <w:iCs/>
          <w:sz w:val="22"/>
          <w:szCs w:val="22"/>
        </w:rPr>
        <w:t xml:space="preserve">conformidad con el </w:t>
      </w:r>
      <w:hyperlink r:id="rId10" w:tooltip="Estatuto Tributario CETA" w:history="1">
        <w:r w:rsidRPr="00E96D17">
          <w:rPr>
            <w:rStyle w:val="Hipervnculo"/>
            <w:iCs/>
            <w:color w:val="auto"/>
            <w:sz w:val="22"/>
            <w:szCs w:val="22"/>
          </w:rPr>
          <w:t>artículo 329</w:t>
        </w:r>
      </w:hyperlink>
      <w:r w:rsidRPr="00E96D17">
        <w:rPr>
          <w:iCs/>
          <w:sz w:val="22"/>
          <w:szCs w:val="22"/>
        </w:rPr>
        <w:t xml:space="preserve"> del Estatuto Tributario, las personas naturales residentes en el país se clasifican en una de las siguientes categorías tributarias: empleado, trabajador por cuenta propia y otros contribuyentes.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Arial"/>
          <w:b/>
          <w:iCs/>
          <w:sz w:val="22"/>
          <w:szCs w:val="22"/>
        </w:rPr>
        <w:t xml:space="preserve">1) </w:t>
      </w:r>
      <w:r w:rsidRPr="00E96D17">
        <w:rPr>
          <w:rStyle w:val="characterstyle6"/>
          <w:b/>
          <w:iCs/>
          <w:sz w:val="22"/>
          <w:szCs w:val="22"/>
        </w:rPr>
        <w:t>Empleado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 xml:space="preserve">Es la persona natural residente en el país, cuyos ingresos provienen en un ochenta por ciento (80%) o más, de la prestación de servicios de manera personal o de la realización de una actividad económica por cuenta y riesgo del empleador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 xml:space="preserve">contratante, mediante una vinculación laboral o legal y reglamentaria </w:t>
      </w:r>
      <w:r w:rsidRPr="00E96D17">
        <w:rPr>
          <w:sz w:val="22"/>
          <w:szCs w:val="22"/>
        </w:rPr>
        <w:t xml:space="preserve">y/o </w:t>
      </w:r>
      <w:r w:rsidRPr="00E96D17">
        <w:rPr>
          <w:iCs/>
          <w:sz w:val="22"/>
          <w:szCs w:val="22"/>
        </w:rPr>
        <w:t>de cualquier otra naturaleza, independientemente de su denominación.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 xml:space="preserve">Igualmente pertenecen a la </w:t>
      </w:r>
      <w:r w:rsidRPr="00E96D17">
        <w:rPr>
          <w:sz w:val="22"/>
          <w:szCs w:val="22"/>
        </w:rPr>
        <w:t xml:space="preserve">categoría </w:t>
      </w:r>
      <w:r w:rsidRPr="00E96D17">
        <w:rPr>
          <w:iCs/>
          <w:sz w:val="22"/>
          <w:szCs w:val="22"/>
        </w:rPr>
        <w:t xml:space="preserve">de empleado las personas naturales residentes en el país que presten servicios en ejercicio de profesiones liberales o que presten servicios técnicos que no requieran la utilización de materiales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 xml:space="preserve">insumos especializados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 xml:space="preserve">de maquinaria especializada, siempre que el ochenta por ciento (80%) o más de sus </w:t>
      </w:r>
      <w:r w:rsidRPr="00E96D17">
        <w:rPr>
          <w:rStyle w:val="characterstyle6"/>
          <w:sz w:val="22"/>
          <w:szCs w:val="22"/>
        </w:rPr>
        <w:t>ingresos provengan del ejercicio de dicha actividad.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rStyle w:val="characterstyle6"/>
          <w:sz w:val="18"/>
          <w:szCs w:val="18"/>
        </w:rPr>
      </w:pPr>
    </w:p>
    <w:p w:rsidR="00E96D17" w:rsidRPr="00E96D17" w:rsidRDefault="00E96D17" w:rsidP="00E96D17">
      <w:pPr>
        <w:pStyle w:val="style6"/>
        <w:spacing w:after="0"/>
        <w:ind w:left="284"/>
        <w:jc w:val="both"/>
        <w:rPr>
          <w:rStyle w:val="characterstyle6"/>
          <w:rFonts w:eastAsia="Arial"/>
          <w:b/>
          <w:iCs/>
          <w:sz w:val="22"/>
          <w:szCs w:val="22"/>
        </w:rPr>
      </w:pP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Arial"/>
          <w:b/>
          <w:iCs/>
          <w:sz w:val="22"/>
          <w:szCs w:val="22"/>
        </w:rPr>
        <w:t xml:space="preserve">2) </w:t>
      </w:r>
      <w:r w:rsidRPr="00E96D17">
        <w:rPr>
          <w:rStyle w:val="characterstyle6"/>
          <w:b/>
          <w:iCs/>
          <w:sz w:val="22"/>
          <w:szCs w:val="22"/>
        </w:rPr>
        <w:t>Trabajador por cuenta propia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 xml:space="preserve">Se entiende como trabajador por cuenta propia, toda persona natural residente en el país, cuyos ingresos provienen en un ochenta por ciento (80%)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 xml:space="preserve">más de la realización de las actividades económicas señaladas en el </w:t>
      </w:r>
      <w:hyperlink r:id="rId11" w:tooltip="Estatuto Tributario CETA" w:history="1">
        <w:r w:rsidRPr="00E96D17">
          <w:rPr>
            <w:rStyle w:val="Hipervnculo"/>
            <w:iCs/>
            <w:color w:val="auto"/>
            <w:sz w:val="22"/>
            <w:szCs w:val="22"/>
          </w:rPr>
          <w:t>artículo 340</w:t>
        </w:r>
      </w:hyperlink>
      <w:r w:rsidRPr="00E96D17">
        <w:rPr>
          <w:iCs/>
          <w:sz w:val="22"/>
          <w:szCs w:val="22"/>
        </w:rPr>
        <w:t xml:space="preserve"> del Estatuto Tributario y cuya Renta Gravable Alternativa sea inferior </w:t>
      </w:r>
      <w:r w:rsidRPr="00E96D17">
        <w:rPr>
          <w:sz w:val="22"/>
          <w:szCs w:val="22"/>
        </w:rPr>
        <w:t xml:space="preserve">a </w:t>
      </w:r>
      <w:r w:rsidRPr="00E96D17">
        <w:rPr>
          <w:iCs/>
          <w:sz w:val="22"/>
          <w:szCs w:val="22"/>
        </w:rPr>
        <w:t xml:space="preserve">veintisiete mil (27.000) </w:t>
      </w:r>
      <w:r w:rsidRPr="00E96D17">
        <w:rPr>
          <w:rStyle w:val="spelle"/>
          <w:iCs/>
          <w:sz w:val="22"/>
          <w:szCs w:val="22"/>
        </w:rPr>
        <w:t>UVT</w:t>
      </w:r>
      <w:r w:rsidRPr="00E96D17">
        <w:rPr>
          <w:iCs/>
          <w:sz w:val="22"/>
          <w:szCs w:val="22"/>
        </w:rPr>
        <w:t>, a saber: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Actividades deportivas y otras actividades de esparcimiento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Agropecuario, silvicultura y pesca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Comercio al por mayor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rFonts w:eastAsia="Symbol"/>
          <w:iCs/>
          <w:sz w:val="22"/>
          <w:szCs w:val="22"/>
        </w:rPr>
        <w:t xml:space="preserve">- </w:t>
      </w:r>
      <w:r w:rsidRPr="00E96D17">
        <w:rPr>
          <w:iCs/>
          <w:sz w:val="22"/>
          <w:szCs w:val="22"/>
        </w:rPr>
        <w:t>Comercio al por menor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rFonts w:eastAsia="Symbol"/>
          <w:iCs/>
          <w:sz w:val="22"/>
          <w:szCs w:val="22"/>
        </w:rPr>
        <w:t xml:space="preserve">- </w:t>
      </w:r>
      <w:r w:rsidRPr="00E96D17">
        <w:rPr>
          <w:iCs/>
          <w:sz w:val="22"/>
          <w:szCs w:val="22"/>
        </w:rPr>
        <w:t>Comercio de vehículos automotores, accesorios y productos conexos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rFonts w:eastAsia="Symbol"/>
          <w:iCs/>
          <w:sz w:val="22"/>
          <w:szCs w:val="22"/>
        </w:rPr>
        <w:t xml:space="preserve">- </w:t>
      </w:r>
      <w:r w:rsidRPr="00E96D17">
        <w:rPr>
          <w:iCs/>
          <w:sz w:val="22"/>
          <w:szCs w:val="22"/>
        </w:rPr>
        <w:t>Construcción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Electricidad, gas y vapor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Fabricación de productos minerales y otros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Fabricación de sustancias químicas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Industria de la madera, corcho y papel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Manufactura alimentos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Manufactura textiles, prendas de vestir y cuero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Minería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Servicio de transporte, almacenamiento y comunicaciones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lastRenderedPageBreak/>
        <w:t xml:space="preserve">- </w:t>
      </w:r>
      <w:r w:rsidRPr="00E96D17">
        <w:rPr>
          <w:rStyle w:val="characterstyle6"/>
          <w:iCs/>
          <w:sz w:val="22"/>
          <w:szCs w:val="22"/>
        </w:rPr>
        <w:t>Servicios de hoteles, restaurantes y similares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rFonts w:eastAsia="Symbol"/>
          <w:iCs/>
          <w:sz w:val="22"/>
          <w:szCs w:val="22"/>
        </w:rPr>
        <w:t xml:space="preserve">- </w:t>
      </w:r>
      <w:r w:rsidRPr="00E96D17">
        <w:rPr>
          <w:rStyle w:val="characterstyle6"/>
          <w:iCs/>
          <w:sz w:val="22"/>
          <w:szCs w:val="22"/>
        </w:rPr>
        <w:t>Servicios financieros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6"/>
        <w:spacing w:after="0"/>
        <w:ind w:left="284"/>
        <w:jc w:val="both"/>
        <w:rPr>
          <w:sz w:val="18"/>
          <w:szCs w:val="18"/>
        </w:rPr>
      </w:pPr>
      <w:r w:rsidRPr="00E96D17">
        <w:rPr>
          <w:rStyle w:val="characterstyle6"/>
          <w:b/>
          <w:iCs/>
          <w:sz w:val="22"/>
          <w:szCs w:val="22"/>
        </w:rPr>
        <w:t>3) Otros contribuyentes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 xml:space="preserve">A esta categoría tributaria pertenecen, entre otros, las personas naturales residentes en el país que no clasifiquen dentro de las categorías de empleado o trabajador por cuenta propia, los pensionados que en virtud de sus demás ingresos no deban clasificarse en las categorías anteriores, los notarios (Decreto Ley 960 de 1970) y los servidores públicos diplomáticos, consulares y administrativos del Ministerio de Relaciones exteriores a que se refiere el </w:t>
      </w:r>
      <w:hyperlink r:id="rId12" w:tooltip="Estatuto Tributario CETA" w:history="1">
        <w:r w:rsidRPr="00E96D17">
          <w:rPr>
            <w:rStyle w:val="Hipervnculo"/>
            <w:iCs/>
            <w:color w:val="auto"/>
            <w:sz w:val="22"/>
            <w:szCs w:val="22"/>
          </w:rPr>
          <w:t>artículo 206-1</w:t>
        </w:r>
      </w:hyperlink>
      <w:r w:rsidRPr="00E96D17">
        <w:rPr>
          <w:iCs/>
          <w:sz w:val="22"/>
          <w:szCs w:val="22"/>
        </w:rPr>
        <w:t xml:space="preserve"> del Estatuto Tributario."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 xml:space="preserve">En materia de retención en la fuente por concepto de rentas de trabajo, con base en la interpretación armónica de los artículos </w:t>
      </w:r>
      <w:hyperlink r:id="rId13" w:tooltip="Estatuto Tributario CETA" w:history="1">
        <w:r w:rsidRPr="00E96D17">
          <w:rPr>
            <w:rStyle w:val="Hipervnculo"/>
            <w:iCs/>
            <w:color w:val="auto"/>
            <w:sz w:val="22"/>
            <w:szCs w:val="22"/>
          </w:rPr>
          <w:t>383</w:t>
        </w:r>
      </w:hyperlink>
      <w:r w:rsidRPr="00E96D17">
        <w:rPr>
          <w:iCs/>
          <w:sz w:val="22"/>
          <w:szCs w:val="22"/>
        </w:rPr>
        <w:t xml:space="preserve"> y </w:t>
      </w:r>
      <w:hyperlink r:id="rId14" w:tooltip="Estatuto Tributario CETA" w:history="1">
        <w:r w:rsidRPr="00E96D17">
          <w:rPr>
            <w:rStyle w:val="Hipervnculo"/>
            <w:iCs/>
            <w:color w:val="auto"/>
            <w:sz w:val="22"/>
            <w:szCs w:val="22"/>
          </w:rPr>
          <w:t>384</w:t>
        </w:r>
      </w:hyperlink>
      <w:r w:rsidRPr="00E96D17">
        <w:rPr>
          <w:iCs/>
          <w:sz w:val="22"/>
          <w:szCs w:val="22"/>
        </w:rPr>
        <w:t xml:space="preserve"> del Estatuto Tributario y del Decreto Reglamentario 0099 de 2013, se coligen las siguientes reglas: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b/>
          <w:iCs/>
          <w:sz w:val="22"/>
          <w:szCs w:val="22"/>
        </w:rPr>
        <w:t xml:space="preserve">1. Retención en la fuente para personas naturales pertenecientes </w:t>
      </w:r>
      <w:r w:rsidRPr="00E96D17">
        <w:rPr>
          <w:b/>
          <w:sz w:val="22"/>
          <w:szCs w:val="22"/>
        </w:rPr>
        <w:t xml:space="preserve">a </w:t>
      </w:r>
      <w:r w:rsidRPr="00E96D17">
        <w:rPr>
          <w:b/>
          <w:iCs/>
          <w:sz w:val="22"/>
          <w:szCs w:val="22"/>
        </w:rPr>
        <w:t>la categoría de empleados.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b/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 xml:space="preserve">A los pagos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 xml:space="preserve">abonos en cuenta efectuados a las personas naturales residentes en el país, pertenecientes a la categoría de empleados les aplica a partir del 1 de enero de 2013, la tabla de retención en la fuente contenida en el </w:t>
      </w:r>
      <w:hyperlink r:id="rId15" w:tooltip="Estatuto Tributario CETA" w:history="1">
        <w:r w:rsidRPr="00E96D17">
          <w:rPr>
            <w:rStyle w:val="Hipervnculo"/>
            <w:iCs/>
            <w:color w:val="auto"/>
            <w:sz w:val="22"/>
            <w:szCs w:val="22"/>
          </w:rPr>
          <w:t>artículo 383</w:t>
        </w:r>
      </w:hyperlink>
      <w:r w:rsidRPr="00E96D17">
        <w:rPr>
          <w:iCs/>
          <w:sz w:val="22"/>
          <w:szCs w:val="22"/>
        </w:rPr>
        <w:t xml:space="preserve"> del Estatuto Tributario reglamentado por el Decreto 0099 de 2013.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 xml:space="preserve">A partir del 1 de abril de 2013, la retención en la fuente mensual sobre los pagos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 xml:space="preserve">abonos en cuenta efectuados </w:t>
      </w:r>
      <w:r w:rsidRPr="00E96D17">
        <w:rPr>
          <w:sz w:val="22"/>
          <w:szCs w:val="22"/>
        </w:rPr>
        <w:t xml:space="preserve">a </w:t>
      </w:r>
      <w:r w:rsidRPr="00E96D17">
        <w:rPr>
          <w:iCs/>
          <w:sz w:val="22"/>
          <w:szCs w:val="22"/>
        </w:rPr>
        <w:t xml:space="preserve">las personas naturales residentes en el país pertenecientes a la </w:t>
      </w:r>
      <w:r w:rsidRPr="00E96D17">
        <w:rPr>
          <w:sz w:val="22"/>
          <w:szCs w:val="22"/>
        </w:rPr>
        <w:t xml:space="preserve">categoría </w:t>
      </w:r>
      <w:r w:rsidRPr="00E96D17">
        <w:rPr>
          <w:iCs/>
          <w:sz w:val="22"/>
          <w:szCs w:val="22"/>
        </w:rPr>
        <w:t xml:space="preserve">de empleados, cuyos ingresos totales en el </w:t>
      </w:r>
      <w:r w:rsidRPr="00E96D17">
        <w:rPr>
          <w:sz w:val="22"/>
          <w:szCs w:val="22"/>
        </w:rPr>
        <w:t xml:space="preserve">año </w:t>
      </w:r>
      <w:r w:rsidRPr="00E96D17">
        <w:rPr>
          <w:iCs/>
          <w:sz w:val="22"/>
          <w:szCs w:val="22"/>
        </w:rPr>
        <w:t xml:space="preserve">gravable inmediatamente anterior, sean iguales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 xml:space="preserve">superiores </w:t>
      </w:r>
      <w:r w:rsidRPr="00E96D17">
        <w:rPr>
          <w:sz w:val="22"/>
          <w:szCs w:val="22"/>
        </w:rPr>
        <w:t xml:space="preserve">a </w:t>
      </w:r>
      <w:r w:rsidRPr="00E96D17">
        <w:rPr>
          <w:iCs/>
          <w:sz w:val="22"/>
          <w:szCs w:val="22"/>
        </w:rPr>
        <w:t xml:space="preserve">cuatro mil setenta y tres (4.073) </w:t>
      </w:r>
      <w:r w:rsidRPr="00E96D17">
        <w:rPr>
          <w:rStyle w:val="spelle"/>
          <w:iCs/>
          <w:sz w:val="22"/>
          <w:szCs w:val="22"/>
        </w:rPr>
        <w:t>UVT</w:t>
      </w:r>
      <w:r w:rsidRPr="00E96D17">
        <w:rPr>
          <w:iCs/>
          <w:sz w:val="22"/>
          <w:szCs w:val="22"/>
        </w:rPr>
        <w:t xml:space="preserve">, en ningún caso puede ser inferior a la que resulte mayor al aplicar la tabla del </w:t>
      </w:r>
      <w:hyperlink r:id="rId16" w:tooltip="Estatuto Tributario CETA" w:history="1">
        <w:r w:rsidRPr="00E96D17">
          <w:rPr>
            <w:rStyle w:val="Hipervnculo"/>
            <w:iCs/>
            <w:color w:val="auto"/>
            <w:sz w:val="22"/>
            <w:szCs w:val="22"/>
          </w:rPr>
          <w:t>artículo 383</w:t>
        </w:r>
      </w:hyperlink>
      <w:r w:rsidRPr="00E96D17">
        <w:rPr>
          <w:iCs/>
          <w:sz w:val="22"/>
          <w:szCs w:val="22"/>
        </w:rPr>
        <w:t xml:space="preserve"> y la tabla del </w:t>
      </w:r>
      <w:hyperlink r:id="rId17" w:tooltip="Estatuto Tributario CETA" w:history="1">
        <w:r w:rsidRPr="00E96D17">
          <w:rPr>
            <w:rStyle w:val="Hipervnculo"/>
            <w:iCs/>
            <w:color w:val="auto"/>
            <w:sz w:val="22"/>
            <w:szCs w:val="22"/>
          </w:rPr>
          <w:t>artículo 384</w:t>
        </w:r>
      </w:hyperlink>
      <w:r w:rsidRPr="00E96D17">
        <w:rPr>
          <w:iCs/>
          <w:sz w:val="22"/>
          <w:szCs w:val="22"/>
        </w:rPr>
        <w:t xml:space="preserve"> del Estatuto Tributario.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 xml:space="preserve">Sobre el requisito de la utilización de materiales o insumos especializados o de maquinaria especializada, es importante precisar que en este momento se encuentra en proceso de reglamentación, para lo cual fue puesto a consideración un proyecto de decreto, que puede ser consultado a través del portal web de la DIAN a través del siguiente enlace: </w:t>
      </w:r>
      <w:hyperlink r:id="rId18" w:history="1">
        <w:r w:rsidRPr="00E96D17">
          <w:rPr>
            <w:rStyle w:val="Hipervnculo"/>
            <w:bCs/>
            <w:color w:val="auto"/>
            <w:sz w:val="22"/>
            <w:szCs w:val="22"/>
          </w:rPr>
          <w:t>www.dian.gov.co</w:t>
        </w:r>
      </w:hyperlink>
      <w:r w:rsidRPr="00E96D17">
        <w:rPr>
          <w:rStyle w:val="spelle"/>
          <w:bCs/>
          <w:sz w:val="22"/>
          <w:szCs w:val="22"/>
        </w:rPr>
        <w:t xml:space="preserve"> </w:t>
      </w:r>
      <w:r w:rsidRPr="00E96D17">
        <w:rPr>
          <w:bCs/>
          <w:iCs/>
          <w:sz w:val="22"/>
          <w:szCs w:val="22"/>
        </w:rPr>
        <w:t xml:space="preserve">–Novedades – Histórico de novedades - </w:t>
      </w:r>
      <w:r w:rsidRPr="00E96D17">
        <w:rPr>
          <w:bCs/>
          <w:iCs/>
          <w:sz w:val="22"/>
          <w:szCs w:val="22"/>
          <w:u w:val="single"/>
        </w:rPr>
        <w:t xml:space="preserve">Proyecto de Decreto que reglamenta las categorías </w:t>
      </w:r>
      <w:r w:rsidRPr="00E96D17">
        <w:rPr>
          <w:iCs/>
          <w:sz w:val="22"/>
          <w:szCs w:val="22"/>
          <w:u w:val="single"/>
        </w:rPr>
        <w:t>para efectos del impuesto sobre la renta de las personas naturales</w:t>
      </w:r>
      <w:r w:rsidRPr="00E96D17">
        <w:rPr>
          <w:iCs/>
          <w:sz w:val="22"/>
          <w:szCs w:val="22"/>
        </w:rPr>
        <w:t xml:space="preserve">, </w:t>
      </w:r>
      <w:r w:rsidRPr="00E96D17">
        <w:rPr>
          <w:sz w:val="22"/>
          <w:szCs w:val="22"/>
        </w:rPr>
        <w:t>del cual destacamos el siguiente aparte: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bCs/>
          <w:iCs/>
          <w:sz w:val="22"/>
          <w:szCs w:val="22"/>
        </w:rPr>
        <w:t xml:space="preserve">"Artículo 2. Empleado. </w:t>
      </w:r>
      <w:r w:rsidRPr="00E96D17">
        <w:rPr>
          <w:iCs/>
          <w:sz w:val="22"/>
          <w:szCs w:val="22"/>
        </w:rPr>
        <w:t xml:space="preserve">Una persona natural residente en el país se considera empleado para efectos tributarios si en el respectivo </w:t>
      </w:r>
      <w:r w:rsidRPr="00E96D17">
        <w:rPr>
          <w:sz w:val="22"/>
          <w:szCs w:val="22"/>
        </w:rPr>
        <w:t xml:space="preserve">año </w:t>
      </w:r>
      <w:r w:rsidRPr="00E96D17">
        <w:rPr>
          <w:iCs/>
          <w:sz w:val="22"/>
          <w:szCs w:val="22"/>
        </w:rPr>
        <w:t>gravable cumple con uno de los tres conjuntos de condiciones siguientes: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3. Conjunto 3</w:t>
      </w: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(…)</w:t>
      </w:r>
    </w:p>
    <w:p w:rsidR="00D81B9B" w:rsidRDefault="00D81B9B" w:rsidP="00E96D17">
      <w:pPr>
        <w:pStyle w:val="style1"/>
        <w:spacing w:after="0"/>
        <w:ind w:left="284"/>
        <w:jc w:val="both"/>
        <w:rPr>
          <w:iCs/>
          <w:sz w:val="22"/>
          <w:szCs w:val="22"/>
        </w:rPr>
      </w:pPr>
    </w:p>
    <w:p w:rsidR="00E96D17" w:rsidRPr="00E96D17" w:rsidRDefault="00E96D17" w:rsidP="00E96D17">
      <w:pPr>
        <w:pStyle w:val="style1"/>
        <w:spacing w:after="0"/>
        <w:ind w:left="284"/>
        <w:jc w:val="both"/>
        <w:rPr>
          <w:sz w:val="18"/>
          <w:szCs w:val="18"/>
        </w:rPr>
      </w:pPr>
      <w:bookmarkStart w:id="0" w:name="_GoBack"/>
      <w:bookmarkEnd w:id="0"/>
      <w:r w:rsidRPr="00E96D17">
        <w:rPr>
          <w:iCs/>
          <w:sz w:val="22"/>
          <w:szCs w:val="22"/>
        </w:rPr>
        <w:t xml:space="preserve">d) No presta servicios profesionales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 xml:space="preserve">técnicos que requieren de materiales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 xml:space="preserve">insumos especializados, o maquinaria o equipo especializado, cuyo costo represente más del veinticinco por ciento (25%) del total de los ingresos percibidos por concepto de tales servicios profesionales </w:t>
      </w:r>
      <w:r w:rsidRPr="00E96D17">
        <w:rPr>
          <w:sz w:val="22"/>
          <w:szCs w:val="22"/>
        </w:rPr>
        <w:t xml:space="preserve">o </w:t>
      </w:r>
      <w:r w:rsidRPr="00E96D17">
        <w:rPr>
          <w:iCs/>
          <w:sz w:val="22"/>
          <w:szCs w:val="22"/>
        </w:rPr>
        <w:t>técnicos. Este porcentaje se podrá soportar mediante los medios de prueba establecidos en el Estatuto Tributario."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i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lastRenderedPageBreak/>
        <w:t>En ese orden de ideas en el caso planteado la odontóloga adscrita a su E.S.E. clasifica en la categoría tributaria de empleado, por cuanto los materiales o insumos especializados o la maquinaria o equipo especializado, no representa costo para dicho profesional y siempre y cuando cumpla los demás requisitos.</w:t>
      </w:r>
    </w:p>
    <w:p w:rsidR="00E96D17" w:rsidRPr="00E96D17" w:rsidRDefault="00E96D17" w:rsidP="00E96D17">
      <w:pPr>
        <w:pStyle w:val="style1"/>
        <w:spacing w:after="0"/>
        <w:jc w:val="both"/>
        <w:rPr>
          <w:sz w:val="22"/>
          <w:szCs w:val="22"/>
        </w:rPr>
      </w:pP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 xml:space="preserve">En consecuencia sobre los pagos o abonos en cuenta le son aplicables las disposiciones de retención en la fuente para empleados consagrados en los artículos </w:t>
      </w:r>
      <w:hyperlink r:id="rId19" w:tooltip="Estatuto Tributario CETA" w:history="1">
        <w:r w:rsidRPr="00E96D17">
          <w:rPr>
            <w:rStyle w:val="Hipervnculo"/>
            <w:color w:val="auto"/>
            <w:sz w:val="22"/>
            <w:szCs w:val="22"/>
          </w:rPr>
          <w:t>383</w:t>
        </w:r>
      </w:hyperlink>
      <w:r w:rsidRPr="00E96D17">
        <w:rPr>
          <w:sz w:val="22"/>
          <w:szCs w:val="22"/>
        </w:rPr>
        <w:t xml:space="preserve">, </w:t>
      </w:r>
      <w:hyperlink r:id="rId20" w:tooltip="Estatuto Tributario CETA" w:history="1">
        <w:r w:rsidRPr="00E96D17">
          <w:rPr>
            <w:rStyle w:val="Hipervnculo"/>
            <w:color w:val="auto"/>
            <w:sz w:val="22"/>
            <w:szCs w:val="22"/>
          </w:rPr>
          <w:t>384</w:t>
        </w:r>
      </w:hyperlink>
      <w:r w:rsidRPr="00E96D17">
        <w:rPr>
          <w:sz w:val="22"/>
          <w:szCs w:val="22"/>
        </w:rPr>
        <w:t xml:space="preserve"> y </w:t>
      </w:r>
      <w:hyperlink r:id="rId21" w:tooltip="Estatuto Tributario CETA" w:history="1">
        <w:r w:rsidRPr="00E96D17">
          <w:rPr>
            <w:rStyle w:val="Hipervnculo"/>
            <w:color w:val="auto"/>
            <w:sz w:val="22"/>
            <w:szCs w:val="22"/>
          </w:rPr>
          <w:t>387</w:t>
        </w:r>
      </w:hyperlink>
      <w:r w:rsidRPr="00E96D17">
        <w:rPr>
          <w:sz w:val="22"/>
          <w:szCs w:val="22"/>
        </w:rPr>
        <w:t xml:space="preserve"> del Estatuto Tributario y en los Decretos Reglamentarios 0099 y 1070 de 2013.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Atentamente,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b/>
          <w:b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b/>
          <w:bCs/>
          <w:sz w:val="22"/>
          <w:szCs w:val="22"/>
        </w:rPr>
        <w:t> 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b/>
          <w:bCs/>
          <w:sz w:val="22"/>
          <w:szCs w:val="22"/>
        </w:rPr>
        <w:t>LEONOR EUGENIA RUIZ DE VILLALOBOS</w:t>
      </w:r>
    </w:p>
    <w:p w:rsidR="00E96D17" w:rsidRPr="00E96D17" w:rsidRDefault="00E96D17" w:rsidP="00E96D17">
      <w:pPr>
        <w:pStyle w:val="style1"/>
        <w:spacing w:after="0"/>
        <w:jc w:val="both"/>
        <w:rPr>
          <w:sz w:val="18"/>
          <w:szCs w:val="18"/>
        </w:rPr>
      </w:pPr>
      <w:r w:rsidRPr="00E96D17">
        <w:rPr>
          <w:sz w:val="22"/>
          <w:szCs w:val="22"/>
        </w:rPr>
        <w:t>Subdirectora de Gestión Normativa y Doctrina</w:t>
      </w:r>
    </w:p>
    <w:p w:rsidR="007837FA" w:rsidRPr="00E96D17" w:rsidRDefault="007837FA">
      <w:pPr>
        <w:rPr>
          <w:rFonts w:ascii="Times New Roman" w:hAnsi="Times New Roman" w:cs="Times New Roman"/>
        </w:rPr>
      </w:pPr>
    </w:p>
    <w:sectPr w:rsidR="007837FA" w:rsidRPr="00E96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17"/>
    <w:rsid w:val="007837FA"/>
    <w:rsid w:val="00D81B9B"/>
    <w:rsid w:val="00E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6D17"/>
    <w:rPr>
      <w:strike w:val="0"/>
      <w:dstrike w:val="0"/>
      <w:color w:val="0089E1"/>
      <w:u w:val="none"/>
      <w:effect w:val="none"/>
    </w:rPr>
  </w:style>
  <w:style w:type="paragraph" w:customStyle="1" w:styleId="style1">
    <w:name w:val="style1"/>
    <w:basedOn w:val="Normal"/>
    <w:rsid w:val="00E96D17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pelle">
    <w:name w:val="spelle"/>
    <w:basedOn w:val="Fuentedeprrafopredeter"/>
    <w:rsid w:val="00E96D17"/>
  </w:style>
  <w:style w:type="paragraph" w:customStyle="1" w:styleId="style6">
    <w:name w:val="style6"/>
    <w:basedOn w:val="Normal"/>
    <w:rsid w:val="00E96D17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haracterstyle6">
    <w:name w:val="characterstyle6"/>
    <w:basedOn w:val="Fuentedeprrafopredeter"/>
    <w:rsid w:val="00E96D17"/>
  </w:style>
  <w:style w:type="paragraph" w:customStyle="1" w:styleId="style4">
    <w:name w:val="style4"/>
    <w:basedOn w:val="Normal"/>
    <w:rsid w:val="00E96D17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haracterstyle1">
    <w:name w:val="characterstyle1"/>
    <w:basedOn w:val="Fuentedeprrafopredeter"/>
    <w:rsid w:val="00E9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6D17"/>
    <w:rPr>
      <w:strike w:val="0"/>
      <w:dstrike w:val="0"/>
      <w:color w:val="0089E1"/>
      <w:u w:val="none"/>
      <w:effect w:val="none"/>
    </w:rPr>
  </w:style>
  <w:style w:type="paragraph" w:customStyle="1" w:styleId="style1">
    <w:name w:val="style1"/>
    <w:basedOn w:val="Normal"/>
    <w:rsid w:val="00E96D17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pelle">
    <w:name w:val="spelle"/>
    <w:basedOn w:val="Fuentedeprrafopredeter"/>
    <w:rsid w:val="00E96D17"/>
  </w:style>
  <w:style w:type="paragraph" w:customStyle="1" w:styleId="style6">
    <w:name w:val="style6"/>
    <w:basedOn w:val="Normal"/>
    <w:rsid w:val="00E96D17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haracterstyle6">
    <w:name w:val="characterstyle6"/>
    <w:basedOn w:val="Fuentedeprrafopredeter"/>
    <w:rsid w:val="00E96D17"/>
  </w:style>
  <w:style w:type="paragraph" w:customStyle="1" w:styleId="style4">
    <w:name w:val="style4"/>
    <w:basedOn w:val="Normal"/>
    <w:rsid w:val="00E96D17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haracterstyle1">
    <w:name w:val="characterstyle1"/>
    <w:basedOn w:val="Fuentedeprrafopredeter"/>
    <w:rsid w:val="00E9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477" TargetMode="External"/><Relationship Id="rId13" Type="http://schemas.openxmlformats.org/officeDocument/2006/relationships/hyperlink" Target="http://www.ceta.org.co/html/vista_de_un_articulo.asp?Norma=476" TargetMode="External"/><Relationship Id="rId18" Type="http://schemas.openxmlformats.org/officeDocument/2006/relationships/hyperlink" Target="http://www.dian.gov.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ta.org.co/html/vista_de_un_articulo.asp?Norma=480" TargetMode="External"/><Relationship Id="rId7" Type="http://schemas.openxmlformats.org/officeDocument/2006/relationships/hyperlink" Target="http://www.ceta.org.co/html/vista_de_un_articulo.asp?Norma=476" TargetMode="External"/><Relationship Id="rId12" Type="http://schemas.openxmlformats.org/officeDocument/2006/relationships/hyperlink" Target="http://www.ceta.org.co/html/vista_de_un_articulo.asp?Norma=29941" TargetMode="External"/><Relationship Id="rId17" Type="http://schemas.openxmlformats.org/officeDocument/2006/relationships/hyperlink" Target="http://www.ceta.org.co/html/vista_de_un_articulo.asp?Norma=4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eta.org.co/html/vista_de_un_articulo.asp?Norma=476" TargetMode="External"/><Relationship Id="rId20" Type="http://schemas.openxmlformats.org/officeDocument/2006/relationships/hyperlink" Target="http://www.ceta.org.co/html/vista_de_un_articulo.asp?Norma=47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408" TargetMode="External"/><Relationship Id="rId11" Type="http://schemas.openxmlformats.org/officeDocument/2006/relationships/hyperlink" Target="http://www.ceta.org.co/html/vista_de_un_articulo.asp?Norma=419" TargetMode="External"/><Relationship Id="rId5" Type="http://schemas.openxmlformats.org/officeDocument/2006/relationships/hyperlink" Target="http://www.ceta.org.co/html/vista_de_un_articulo.asp?Norma=408" TargetMode="External"/><Relationship Id="rId15" Type="http://schemas.openxmlformats.org/officeDocument/2006/relationships/hyperlink" Target="http://www.ceta.org.co/html/vista_de_un_articulo.asp?Norma=4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eta.org.co/html/vista_de_un_articulo.asp?Norma=408" TargetMode="External"/><Relationship Id="rId19" Type="http://schemas.openxmlformats.org/officeDocument/2006/relationships/hyperlink" Target="http://www.ceta.org.co/html/vista_de_un_articulo.asp?Norma=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480" TargetMode="External"/><Relationship Id="rId14" Type="http://schemas.openxmlformats.org/officeDocument/2006/relationships/hyperlink" Target="http://www.ceta.org.co/html/vista_de_un_articulo.asp?Norma=4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1575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2013-10-13T16:11:00Z</dcterms:created>
  <dcterms:modified xsi:type="dcterms:W3CDTF">2013-10-17T21:47:00Z</dcterms:modified>
</cp:coreProperties>
</file>